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520CA416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41436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7CBA2395" w14:textId="77777777" w:rsidR="00941436" w:rsidRDefault="00941436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d)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care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provin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din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monoparentale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care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realizează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un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net lunar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supus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impozitării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ultimele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12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luni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anterioare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cererii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mai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mic de un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salariu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minim net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economie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; se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va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calcul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salariul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minim net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economie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vigoare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la data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depunerii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cererii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2A80A35B" w14:textId="77777777" w:rsidR="00941436" w:rsidRDefault="00941436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</w:p>
    <w:p w14:paraId="43AC2545" w14:textId="0BF3FEBF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18CDAEB" w14:textId="77777777" w:rsidR="00941436" w:rsidRDefault="00941436" w:rsidP="00941436">
      <w:pPr>
        <w:pStyle w:val="Default"/>
        <w:contextualSpacing/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D58BE">
        <w:rPr>
          <w:rFonts w:asciiTheme="minorHAnsi" w:hAnsiTheme="minorHAnsi" w:cstheme="minorHAnsi"/>
          <w:sz w:val="22"/>
          <w:szCs w:val="22"/>
        </w:rPr>
        <w:t xml:space="preserve">Secțiune destinată calculului de eligibilitate a dosarului în funcție de </w:t>
      </w:r>
      <w:r w:rsidRPr="001D58BE"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venit mediu net lunar</w:t>
      </w:r>
      <w:r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91"/>
        <w:gridCol w:w="2511"/>
      </w:tblGrid>
      <w:tr w:rsidR="00941436" w:rsidRPr="00D86C1D" w14:paraId="73A757F8" w14:textId="77777777" w:rsidTr="00C72335">
        <w:trPr>
          <w:trHeight w:val="684"/>
        </w:trPr>
        <w:tc>
          <w:tcPr>
            <w:tcW w:w="2830" w:type="dxa"/>
          </w:tcPr>
          <w:p w14:paraId="03B724CB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Venituri totale/ familie – conform declarației de la pct. 1 și verificate la ANAF</w:t>
            </w:r>
          </w:p>
        </w:tc>
        <w:tc>
          <w:tcPr>
            <w:tcW w:w="2410" w:type="dxa"/>
          </w:tcPr>
          <w:p w14:paraId="240B34CC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Numărul de membri din familia solicitantă de bursă socială</w:t>
            </w:r>
          </w:p>
        </w:tc>
        <w:tc>
          <w:tcPr>
            <w:tcW w:w="2291" w:type="dxa"/>
          </w:tcPr>
          <w:p w14:paraId="5CF540A9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Style w:val="slit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Venitul mediu net lunar / membru familie</w:t>
            </w:r>
          </w:p>
        </w:tc>
        <w:tc>
          <w:tcPr>
            <w:tcW w:w="2511" w:type="dxa"/>
          </w:tcPr>
          <w:p w14:paraId="47BE8955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Observații</w:t>
            </w:r>
          </w:p>
        </w:tc>
      </w:tr>
      <w:tr w:rsidR="00941436" w:rsidRPr="00C44B49" w14:paraId="30045711" w14:textId="77777777" w:rsidTr="00C72335">
        <w:trPr>
          <w:trHeight w:val="458"/>
        </w:trPr>
        <w:tc>
          <w:tcPr>
            <w:tcW w:w="2830" w:type="dxa"/>
          </w:tcPr>
          <w:p w14:paraId="75E6B9FB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79B9D0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</w:tcPr>
          <w:p w14:paraId="6BDA1C21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9760757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5AC6E4" w14:textId="77777777" w:rsidR="00941436" w:rsidRPr="001D58BE" w:rsidRDefault="00941436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941436" w:rsidRP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3</cp:revision>
  <dcterms:created xsi:type="dcterms:W3CDTF">2024-09-04T10:25:00Z</dcterms:created>
  <dcterms:modified xsi:type="dcterms:W3CDTF">2024-09-04T10:27:00Z</dcterms:modified>
</cp:coreProperties>
</file>