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E1C" w14:textId="4C6AE1D5" w:rsidR="00793FB2" w:rsidRPr="00793FB2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64C3C790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Validare profesor diriginte,</w:t>
      </w:r>
    </w:p>
    <w:p w14:paraId="75EA9B90" w14:textId="2802B230" w:rsidR="00793FB2" w:rsidRPr="00793FB2" w:rsidRDefault="00793FB2" w:rsidP="006E44BA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7BED0D4" w14:textId="557F2C6A" w:rsidR="00793FB2" w:rsidRPr="00793FB2" w:rsidRDefault="00793FB2" w:rsidP="00571785">
      <w:pPr>
        <w:pStyle w:val="Default"/>
        <w:ind w:left="6372"/>
        <w:contextualSpacing/>
        <w:rPr>
          <w:rFonts w:asciiTheme="minorHAnsi" w:hAnsiTheme="minorHAnsi" w:cstheme="minorHAnsi"/>
          <w:sz w:val="18"/>
          <w:szCs w:val="18"/>
        </w:rPr>
      </w:pP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elgri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531910F" w:rsidR="00ED23B7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(se va completa cu : </w:t>
      </w:r>
      <w:r w:rsidR="005566EA">
        <w:rPr>
          <w:rFonts w:asciiTheme="minorHAnsi" w:hAnsiTheme="minorHAnsi" w:cstheme="minorHAnsi"/>
          <w:sz w:val="18"/>
          <w:szCs w:val="18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profesional)</w:t>
      </w:r>
      <w:r w:rsidR="00CF5062" w:rsidRPr="004C1717">
        <w:rPr>
          <w:rFonts w:asciiTheme="minorHAnsi" w:hAnsiTheme="minorHAnsi" w:cstheme="minorHAnsi"/>
          <w:sz w:val="16"/>
          <w:szCs w:val="16"/>
        </w:rPr>
        <w:t xml:space="preserve"> </w:t>
      </w:r>
      <w:r w:rsidR="00CF5062" w:rsidRPr="004C1717">
        <w:rPr>
          <w:rFonts w:asciiTheme="minorHAnsi" w:hAnsiTheme="minorHAnsi" w:cstheme="minorHAnsi"/>
          <w:sz w:val="22"/>
          <w:szCs w:val="22"/>
        </w:rPr>
        <w:t>,</w:t>
      </w:r>
    </w:p>
    <w:p w14:paraId="0BAA9D38" w14:textId="77777777" w:rsidR="001D5556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BURS</w:t>
      </w:r>
      <w:r w:rsidR="003E3040" w:rsidRPr="004C171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511A4">
        <w:rPr>
          <w:rFonts w:asciiTheme="minorHAnsi" w:hAnsiTheme="minorHAnsi" w:cstheme="minorHAnsi"/>
          <w:b/>
          <w:bCs/>
          <w:sz w:val="22"/>
          <w:szCs w:val="22"/>
        </w:rPr>
        <w:t xml:space="preserve">MERIT, conform </w:t>
      </w:r>
      <w:r w:rsidR="000511A4">
        <w:rPr>
          <w:rFonts w:asciiTheme="minorHAnsi" w:hAnsiTheme="minorHAnsi" w:cstheme="minorHAnsi"/>
          <w:sz w:val="18"/>
          <w:szCs w:val="18"/>
        </w:rPr>
        <w:t>p</w:t>
      </w:r>
      <w:r w:rsidR="000511A4" w:rsidRPr="00C44B49">
        <w:rPr>
          <w:rFonts w:asciiTheme="minorHAnsi" w:hAnsiTheme="minorHAnsi" w:cstheme="minorHAnsi"/>
          <w:sz w:val="18"/>
          <w:szCs w:val="18"/>
        </w:rPr>
        <w:t>recizări</w:t>
      </w:r>
      <w:r w:rsidR="007052EB">
        <w:rPr>
          <w:rFonts w:asciiTheme="minorHAnsi" w:hAnsiTheme="minorHAnsi" w:cstheme="minorHAnsi"/>
          <w:sz w:val="18"/>
          <w:szCs w:val="18"/>
        </w:rPr>
        <w:t>lor</w:t>
      </w:r>
      <w:r w:rsidR="000511A4" w:rsidRPr="00C44B49">
        <w:rPr>
          <w:rFonts w:asciiTheme="minorHAnsi" w:hAnsiTheme="minorHAnsi" w:cstheme="minorHAnsi"/>
          <w:sz w:val="18"/>
          <w:szCs w:val="18"/>
        </w:rPr>
        <w:t xml:space="preserve"> din </w:t>
      </w:r>
      <w:r w:rsidR="00381DA1" w:rsidRPr="00C44B49">
        <w:rPr>
          <w:rFonts w:asciiTheme="minorHAnsi" w:hAnsiTheme="minorHAnsi" w:cstheme="minorHAnsi"/>
          <w:sz w:val="18"/>
          <w:szCs w:val="18"/>
        </w:rPr>
        <w:t xml:space="preserve">OME </w:t>
      </w:r>
      <w:r w:rsidR="00381DA1">
        <w:rPr>
          <w:rFonts w:asciiTheme="minorHAnsi" w:hAnsiTheme="minorHAnsi" w:cstheme="minorHAnsi"/>
          <w:sz w:val="18"/>
          <w:szCs w:val="18"/>
        </w:rPr>
        <w:t>5518</w:t>
      </w:r>
      <w:r w:rsidR="00381DA1" w:rsidRPr="00C44B49">
        <w:rPr>
          <w:rFonts w:asciiTheme="minorHAnsi" w:hAnsiTheme="minorHAnsi" w:cstheme="minorHAnsi"/>
          <w:sz w:val="18"/>
          <w:szCs w:val="18"/>
        </w:rPr>
        <w:t xml:space="preserve"> / </w:t>
      </w:r>
      <w:r w:rsidR="00381DA1">
        <w:rPr>
          <w:rFonts w:asciiTheme="minorHAnsi" w:hAnsiTheme="minorHAnsi" w:cstheme="minorHAnsi"/>
          <w:sz w:val="18"/>
          <w:szCs w:val="18"/>
        </w:rPr>
        <w:t xml:space="preserve">11 iulie </w:t>
      </w:r>
      <w:r w:rsidR="00381DA1" w:rsidRPr="00C44B49">
        <w:rPr>
          <w:rFonts w:asciiTheme="minorHAnsi" w:hAnsiTheme="minorHAnsi" w:cstheme="minorHAnsi"/>
          <w:sz w:val="18"/>
          <w:szCs w:val="18"/>
        </w:rPr>
        <w:t>202</w:t>
      </w:r>
      <w:r w:rsidR="00381DA1">
        <w:rPr>
          <w:rFonts w:asciiTheme="minorHAnsi" w:hAnsiTheme="minorHAnsi" w:cstheme="minorHAnsi"/>
          <w:sz w:val="18"/>
          <w:szCs w:val="18"/>
        </w:rPr>
        <w:t>4</w:t>
      </w:r>
      <w:r w:rsidR="000511A4">
        <w:rPr>
          <w:rFonts w:asciiTheme="minorHAnsi" w:hAnsiTheme="minorHAnsi" w:cstheme="minorHAnsi"/>
          <w:sz w:val="22"/>
          <w:szCs w:val="22"/>
        </w:rPr>
        <w:t>,</w:t>
      </w:r>
    </w:p>
    <w:p w14:paraId="3C212077" w14:textId="6A9906E6" w:rsidR="000511A4" w:rsidRDefault="000511A4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articolul 7</w:t>
      </w:r>
      <w:r w:rsidR="003A18B0">
        <w:rPr>
          <w:rFonts w:asciiTheme="minorHAnsi" w:hAnsiTheme="minorHAnsi" w:cstheme="minorHAnsi"/>
          <w:sz w:val="22"/>
          <w:szCs w:val="22"/>
        </w:rPr>
        <w:t xml:space="preserve"> (2)</w:t>
      </w:r>
    </w:p>
    <w:p w14:paraId="78E7CFEF" w14:textId="77777777" w:rsidR="0054316A" w:rsidRDefault="003A18B0" w:rsidP="003A18B0">
      <w:pPr>
        <w:pStyle w:val="Default"/>
        <w:contextualSpacing/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</w:pPr>
      <w:r w:rsidRPr="003A18B0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  <w:lang w:val="en-US"/>
        </w:rPr>
        <w:t>d)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elevilor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de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gimnaziu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şi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liceu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,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inclusiv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învăţământ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profesional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şi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dual, care au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obţinut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premiile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I, II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sau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III la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etapele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judeţene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ale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olimpiadelor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şcolare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recunoscute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de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Ministerul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Educaţiei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,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premiul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I la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etapele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naţionale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ale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concursurilor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/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competiţiilor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şcolare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şi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extraşcolare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,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recunoscute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de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Ministerul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Educaţiei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,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elevilor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care au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obţinut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medalia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de aur/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locul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I la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campionatele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naţionale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organizate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de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federaţiile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sportive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naţionale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olimpice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/probe </w:t>
      </w:r>
      <w:proofErr w:type="spellStart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olimpice</w:t>
      </w:r>
      <w:proofErr w:type="spellEnd"/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.</w:t>
      </w:r>
    </w:p>
    <w:p w14:paraId="0FCC9754" w14:textId="767DA69E" w:rsidR="001D5556" w:rsidRDefault="001D5556" w:rsidP="001D5556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și articolul 8 (2)</w:t>
      </w:r>
    </w:p>
    <w:p w14:paraId="5593C4A8" w14:textId="466AE982" w:rsidR="001D5556" w:rsidRDefault="001D5556" w:rsidP="003A18B0">
      <w:pPr>
        <w:pStyle w:val="Default"/>
        <w:contextualSpacing/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…</w:t>
      </w:r>
    </w:p>
    <w:p w14:paraId="5BF89AE3" w14:textId="2B5E23E5" w:rsidR="001D5556" w:rsidRDefault="001D5556" w:rsidP="003A18B0">
      <w:pPr>
        <w:pStyle w:val="Default"/>
        <w:contextualSpacing/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</w:pP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Rezultatele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la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campionatele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naţionale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organizate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de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federaţiile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sportive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naţionale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olimpice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/probe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olimpice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care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vor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sta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la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baza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acordării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burselor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de merit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vor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fi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atestate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prin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: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copie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diplomă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loc I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şi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adeverinţă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de la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federaţia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sportivă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naţională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pe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ramura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de sport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respectivă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, la care se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ataşează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extras din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calendarul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 xml:space="preserve"> </w:t>
      </w:r>
      <w:proofErr w:type="spellStart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competiţional</w:t>
      </w:r>
      <w:proofErr w:type="spellEnd"/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.</w:t>
      </w:r>
    </w:p>
    <w:p w14:paraId="49881D04" w14:textId="3E590A2A" w:rsidR="003A18B0" w:rsidRDefault="003A18B0" w:rsidP="003A18B0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176344269"/>
      <w:r>
        <w:rPr>
          <w:rFonts w:asciiTheme="minorHAnsi" w:hAnsiTheme="minorHAnsi" w:cstheme="minorHAnsi"/>
          <w:sz w:val="22"/>
          <w:szCs w:val="22"/>
        </w:rPr>
        <w:t>Prezenta solicitare este însoțită de prezentarea în original a documentului justificativ:</w:t>
      </w:r>
    </w:p>
    <w:bookmarkEnd w:id="0"/>
    <w:p w14:paraId="347EEB8F" w14:textId="77777777" w:rsidR="003A18B0" w:rsidRDefault="003A18B0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79C1863F" w14:textId="28C1F91F" w:rsidR="000511A4" w:rsidRPr="004C1717" w:rsidRDefault="000511A4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premiul .......................................................................................................................... </w:t>
      </w:r>
    </w:p>
    <w:p w14:paraId="104821A4" w14:textId="30759C13" w:rsidR="000511A4" w:rsidRPr="004C1717" w:rsidRDefault="000511A4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la </w:t>
      </w:r>
      <w:r w:rsidR="00C0626E">
        <w:rPr>
          <w:rFonts w:asciiTheme="minorHAnsi" w:hAnsiTheme="minorHAnsi" w:cstheme="minorHAnsi"/>
          <w:sz w:val="22"/>
          <w:szCs w:val="22"/>
        </w:rPr>
        <w:t>olimpiada/</w:t>
      </w:r>
      <w:r>
        <w:rPr>
          <w:rFonts w:asciiTheme="minorHAnsi" w:hAnsiTheme="minorHAnsi" w:cstheme="minorHAnsi"/>
          <w:sz w:val="22"/>
          <w:szCs w:val="22"/>
        </w:rPr>
        <w:t>lotul</w:t>
      </w:r>
      <w:r w:rsidRPr="004C171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 </w:t>
      </w:r>
    </w:p>
    <w:p w14:paraId="71DF4963" w14:textId="77777777" w:rsidR="003A18B0" w:rsidRDefault="003A18B0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571785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571785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74F583F2" w:rsidR="006B183B" w:rsidRPr="00C44B49" w:rsidRDefault="006B183B" w:rsidP="00571785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</w:t>
      </w:r>
      <w:proofErr w:type="spellStart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originalul</w:t>
      </w:r>
      <w:proofErr w:type="spellEnd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”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va</w:t>
      </w:r>
      <w:proofErr w:type="spellEnd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semna</w:t>
      </w:r>
      <w:proofErr w:type="spellEnd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olograf</w:t>
      </w:r>
      <w:proofErr w:type="spellEnd"/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,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 </w:t>
      </w:r>
      <w:proofErr w:type="spellStart"/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foto</w:t>
      </w:r>
      <w:proofErr w:type="spellEnd"/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-copie a documentului justificativ.</w:t>
      </w:r>
    </w:p>
    <w:p w14:paraId="5235B692" w14:textId="201F58EC" w:rsidR="00666D79" w:rsidRPr="00C44B49" w:rsidRDefault="00666D79" w:rsidP="00571785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Profesorul diriginte/persoana desemnată de către Comisia de management al burselor </w:t>
      </w:r>
      <w:r w:rsidRPr="00C44B49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poate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solicita un act din care să rezulte calitatea de părinte/reprezentant legal pentru persoana care face prezenta cerere.</w:t>
      </w:r>
    </w:p>
    <w:p w14:paraId="374FE0B1" w14:textId="1CD025DD" w:rsidR="00ED23B7" w:rsidRPr="00C44B49" w:rsidRDefault="00666D79" w:rsidP="00571785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3A18B0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3A18B0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539F2FFF" w:rsidR="0049378D" w:rsidRPr="00C44B49" w:rsidRDefault="00A6716D" w:rsidP="00571785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35102905" w14:textId="48026E79" w:rsidR="008B5895" w:rsidRPr="00C44B49" w:rsidRDefault="008B5895" w:rsidP="00571785">
      <w:pPr>
        <w:pStyle w:val="Default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0081CB" w14:textId="77777777" w:rsidR="008B5895" w:rsidRPr="004C1717" w:rsidRDefault="008B5895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8B5895" w:rsidRPr="004C1717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3"/>
  </w:num>
  <w:num w:numId="2" w16cid:durableId="1820344969">
    <w:abstractNumId w:val="0"/>
  </w:num>
  <w:num w:numId="3" w16cid:durableId="1490901263">
    <w:abstractNumId w:val="2"/>
  </w:num>
  <w:num w:numId="4" w16cid:durableId="573272833">
    <w:abstractNumId w:val="1"/>
  </w:num>
  <w:num w:numId="5" w16cid:durableId="1624535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511A4"/>
    <w:rsid w:val="00087A8F"/>
    <w:rsid w:val="00114BE8"/>
    <w:rsid w:val="001A6326"/>
    <w:rsid w:val="001B3544"/>
    <w:rsid w:val="001D5556"/>
    <w:rsid w:val="002D7C68"/>
    <w:rsid w:val="003740D9"/>
    <w:rsid w:val="00381DA1"/>
    <w:rsid w:val="003A18B0"/>
    <w:rsid w:val="003E3040"/>
    <w:rsid w:val="0043053C"/>
    <w:rsid w:val="0049378D"/>
    <w:rsid w:val="004C1717"/>
    <w:rsid w:val="004C710C"/>
    <w:rsid w:val="00516B6B"/>
    <w:rsid w:val="0054316A"/>
    <w:rsid w:val="005566EA"/>
    <w:rsid w:val="00571785"/>
    <w:rsid w:val="00666D79"/>
    <w:rsid w:val="006B183B"/>
    <w:rsid w:val="006D5033"/>
    <w:rsid w:val="006E44BA"/>
    <w:rsid w:val="007052EB"/>
    <w:rsid w:val="007653F7"/>
    <w:rsid w:val="00793FB2"/>
    <w:rsid w:val="008117D1"/>
    <w:rsid w:val="00832A10"/>
    <w:rsid w:val="0087693D"/>
    <w:rsid w:val="00884E55"/>
    <w:rsid w:val="008B5895"/>
    <w:rsid w:val="00976D63"/>
    <w:rsid w:val="00A6716D"/>
    <w:rsid w:val="00BC2AB0"/>
    <w:rsid w:val="00BD5829"/>
    <w:rsid w:val="00BD68FC"/>
    <w:rsid w:val="00C0626E"/>
    <w:rsid w:val="00C44B49"/>
    <w:rsid w:val="00CF5062"/>
    <w:rsid w:val="00D22454"/>
    <w:rsid w:val="00ED23B7"/>
    <w:rsid w:val="00F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B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Villy Busuioc</cp:lastModifiedBy>
  <cp:revision>13</cp:revision>
  <dcterms:created xsi:type="dcterms:W3CDTF">2023-09-22T10:03:00Z</dcterms:created>
  <dcterms:modified xsi:type="dcterms:W3CDTF">2024-09-04T10:48:00Z</dcterms:modified>
</cp:coreProperties>
</file>